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F1" w:rsidRDefault="00F7244E">
      <w:pPr>
        <w:spacing w:line="560" w:lineRule="exact"/>
        <w:rPr>
          <w:rFonts w:ascii="黑体" w:eastAsia="黑体" w:hAnsi="黑体"/>
          <w:sz w:val="32"/>
          <w:szCs w:val="32"/>
        </w:rPr>
      </w:pPr>
      <w:r>
        <w:rPr>
          <w:rFonts w:ascii="黑体" w:eastAsia="黑体" w:hAnsi="黑体" w:hint="eastAsia"/>
          <w:sz w:val="32"/>
          <w:szCs w:val="32"/>
        </w:rPr>
        <w:t>附件 2</w:t>
      </w:r>
    </w:p>
    <w:p w:rsidR="004860F1" w:rsidRDefault="004860F1">
      <w:pPr>
        <w:spacing w:line="560" w:lineRule="exact"/>
        <w:jc w:val="center"/>
        <w:rPr>
          <w:rFonts w:ascii="方正小标宋简体" w:eastAsia="方正小标宋简体"/>
          <w:sz w:val="44"/>
          <w:szCs w:val="44"/>
        </w:rPr>
      </w:pPr>
    </w:p>
    <w:p w:rsidR="004860F1" w:rsidRDefault="00F7244E">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2021年度、2022年度黔东南州基础研究计划（决策科学项目）申报指南</w:t>
      </w:r>
    </w:p>
    <w:p w:rsidR="004860F1" w:rsidRDefault="004860F1">
      <w:pPr>
        <w:spacing w:line="560" w:lineRule="exact"/>
        <w:ind w:firstLineChars="200" w:firstLine="640"/>
        <w:rPr>
          <w:rFonts w:ascii="仿宋_GB2312" w:eastAsia="仿宋_GB2312"/>
          <w:sz w:val="32"/>
          <w:szCs w:val="32"/>
        </w:rPr>
      </w:pP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基础研究计划（决策科学项目）坚持问题导向和目标导向，主要支持科技管理、科技发展战略、科技体制改革等研究。</w:t>
      </w:r>
    </w:p>
    <w:p w:rsidR="004860F1" w:rsidRDefault="00F7244E">
      <w:pPr>
        <w:spacing w:line="560" w:lineRule="exact"/>
        <w:ind w:firstLineChars="200" w:firstLine="640"/>
        <w:rPr>
          <w:rFonts w:ascii="黑体" w:eastAsia="黑体" w:hAnsi="黑体"/>
          <w:sz w:val="32"/>
          <w:szCs w:val="32"/>
        </w:rPr>
      </w:pPr>
      <w:r>
        <w:rPr>
          <w:rFonts w:ascii="黑体" w:eastAsia="黑体" w:hAnsi="黑体" w:hint="eastAsia"/>
          <w:sz w:val="32"/>
          <w:szCs w:val="32"/>
        </w:rPr>
        <w:t>一、资助强度和实施周期</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基础研究计划（决策科学项目）资助经费不超过5 万元/项，实施周期为 6 个月；实施周期从签订项目任务书之日算起。</w:t>
      </w:r>
    </w:p>
    <w:p w:rsidR="004860F1" w:rsidRDefault="00F7244E">
      <w:pPr>
        <w:spacing w:line="560" w:lineRule="exact"/>
        <w:ind w:firstLineChars="200" w:firstLine="640"/>
        <w:rPr>
          <w:rFonts w:ascii="黑体" w:eastAsia="黑体" w:hAnsi="黑体"/>
          <w:sz w:val="32"/>
          <w:szCs w:val="32"/>
        </w:rPr>
      </w:pPr>
      <w:r>
        <w:rPr>
          <w:rFonts w:ascii="黑体" w:eastAsia="黑体" w:hAnsi="黑体" w:hint="eastAsia"/>
          <w:sz w:val="32"/>
          <w:szCs w:val="32"/>
        </w:rPr>
        <w:t>二、申报条件及要求</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除满足通知中的申报条件及要求外，还须满足以下条件：</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1.申请人限定为 1 人，是项目主体思路的提出者、研究任务的切实组织者和指导者，熟悉贵州省情</w:t>
      </w:r>
      <w:r w:rsidR="001563F7">
        <w:rPr>
          <w:rFonts w:ascii="仿宋_GB2312" w:eastAsia="仿宋_GB2312" w:hint="eastAsia"/>
          <w:sz w:val="32"/>
          <w:szCs w:val="32"/>
        </w:rPr>
        <w:t>和黔东南州情</w:t>
      </w:r>
      <w:r>
        <w:rPr>
          <w:rFonts w:ascii="仿宋_GB2312" w:eastAsia="仿宋_GB2312" w:hint="eastAsia"/>
          <w:sz w:val="32"/>
          <w:szCs w:val="32"/>
        </w:rPr>
        <w:t>，熟悉科技创新政策、科技发展战略、科技管理等相关工作。</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2.项目申请人须具有中级及以上职称或硕士及以上学位，具有与申报选题相关的工作实践经验和研究经历、相关统计数据资源收集与分析能力，工作积累和前期研究基础扎实。</w:t>
      </w:r>
      <w:bookmarkStart w:id="0" w:name="_GoBack"/>
      <w:bookmarkEnd w:id="0"/>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3.项目组成员稳定，专业、年龄结构合理。鼓励跨部门、跨学科、跨领域的理论研究者、实际工作者、决策部门管理人员组成，支持开放式创新研究。</w:t>
      </w:r>
    </w:p>
    <w:p w:rsidR="004860F1" w:rsidRDefault="00F7244E">
      <w:pPr>
        <w:spacing w:line="560" w:lineRule="exact"/>
        <w:ind w:firstLineChars="200" w:firstLine="640"/>
        <w:rPr>
          <w:rFonts w:ascii="黑体" w:eastAsia="黑体" w:hAnsi="黑体"/>
          <w:sz w:val="32"/>
          <w:szCs w:val="32"/>
        </w:rPr>
      </w:pPr>
      <w:r>
        <w:rPr>
          <w:rFonts w:ascii="黑体" w:eastAsia="黑体" w:hAnsi="黑体" w:hint="eastAsia"/>
          <w:sz w:val="32"/>
          <w:szCs w:val="32"/>
        </w:rPr>
        <w:lastRenderedPageBreak/>
        <w:t>三、项目研究要求</w:t>
      </w:r>
    </w:p>
    <w:p w:rsidR="004860F1" w:rsidRDefault="00F7244E">
      <w:pPr>
        <w:spacing w:line="560" w:lineRule="exact"/>
        <w:ind w:firstLineChars="250" w:firstLine="800"/>
        <w:rPr>
          <w:rFonts w:ascii="仿宋_GB2312" w:eastAsia="仿宋_GB2312"/>
          <w:sz w:val="32"/>
          <w:szCs w:val="32"/>
        </w:rPr>
      </w:pPr>
      <w:r>
        <w:rPr>
          <w:rFonts w:ascii="仿宋_GB2312" w:eastAsia="仿宋_GB2312" w:hint="eastAsia"/>
          <w:sz w:val="32"/>
          <w:szCs w:val="32"/>
        </w:rPr>
        <w:t>1.紧扣主题，目标明确。项目研究要以解决问题、应对新情况为目标，注重与州科技局沟通协调，全面准确了解研究选题的背景、目标和研究需求，科学制定研究方案。研究方案应包括研究背景、现状分析、研究思路和研究计划，确保项目研究整体设计条理清晰，框架设计合理。</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2.方法得当，论证全面。项目研究注重深入一线进行调研，注重收集第一手资料和数据；研究方法科学，综合运用自然科学、社会科学和工程技术多门类、多学科知识，积极运用先进理论、数据分析等新理论新方法新工具进行系统分析和充分论证，确保论证分析全面深刻、真实权威、逻辑清晰，观点明确新颖。</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3.问题突出，对策适当。项目研究坚持以解决实际问题、推进决策应用为导向，立足</w:t>
      </w:r>
      <w:r w:rsidR="001563F7">
        <w:rPr>
          <w:rFonts w:ascii="仿宋_GB2312" w:eastAsia="仿宋_GB2312" w:hint="eastAsia"/>
          <w:sz w:val="32"/>
          <w:szCs w:val="32"/>
        </w:rPr>
        <w:t>贵州省情和黔东南州情</w:t>
      </w:r>
      <w:r>
        <w:rPr>
          <w:rFonts w:ascii="仿宋_GB2312" w:eastAsia="仿宋_GB2312" w:hint="eastAsia"/>
          <w:sz w:val="32"/>
          <w:szCs w:val="32"/>
        </w:rPr>
        <w:t>，对标先进，对标新要求，研究问题深入，提出问题深刻，解决问题可行，注重研究的针对性、有效性，提出有建设性、操作性的对策政策建议。</w:t>
      </w:r>
    </w:p>
    <w:p w:rsidR="004860F1" w:rsidRDefault="00F7244E">
      <w:pPr>
        <w:spacing w:line="560" w:lineRule="exact"/>
        <w:ind w:firstLineChars="250" w:firstLine="800"/>
        <w:rPr>
          <w:rFonts w:ascii="黑体" w:eastAsia="黑体" w:hAnsi="黑体"/>
          <w:sz w:val="32"/>
          <w:szCs w:val="32"/>
        </w:rPr>
      </w:pPr>
      <w:r>
        <w:rPr>
          <w:rFonts w:ascii="黑体" w:eastAsia="黑体" w:hAnsi="黑体" w:hint="eastAsia"/>
          <w:sz w:val="32"/>
          <w:szCs w:val="32"/>
        </w:rPr>
        <w:t>四、项目考核要求</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州基础研究计划（决策科学项目）注重研究成果的创新性、实用性，研究成果形式以支撑实现科技创新治理体系和治理能力现代化需要，并被政府部门采纳的调研报告、科技报告等为主。</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1.合同下达之日起 3 个月内，须向州科技局提交 5000 字左右的研究报告（专报）。</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2.在合同执行期内最后一月 15 日前，须向州科技局提交内容详实、见解深刻、切实可行的研究报告。</w:t>
      </w:r>
    </w:p>
    <w:p w:rsidR="004860F1" w:rsidRDefault="00F7244E">
      <w:pPr>
        <w:spacing w:line="560" w:lineRule="exact"/>
        <w:ind w:firstLineChars="200" w:firstLine="640"/>
        <w:rPr>
          <w:rFonts w:ascii="黑体" w:eastAsia="黑体" w:hAnsi="黑体"/>
          <w:sz w:val="32"/>
          <w:szCs w:val="32"/>
        </w:rPr>
      </w:pPr>
      <w:r>
        <w:rPr>
          <w:rFonts w:ascii="黑体" w:eastAsia="黑体" w:hAnsi="黑体" w:hint="eastAsia"/>
          <w:sz w:val="32"/>
          <w:szCs w:val="32"/>
        </w:rPr>
        <w:t>五、其他要求</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1.申请项目名称原则上以本指南中明确的研究选题题目进行命名。</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2.申报项目时，申请人须提供与申报选题相关并能反映其具有研究基础与研究能力的研究成果等佐证材料。未按要求报送相关佐证材料的，视为无相关工作积累或不具有前期</w:t>
      </w:r>
    </w:p>
    <w:p w:rsidR="004860F1" w:rsidRDefault="00F7244E">
      <w:pPr>
        <w:spacing w:line="560" w:lineRule="exact"/>
        <w:rPr>
          <w:rFonts w:ascii="仿宋_GB2312" w:eastAsia="仿宋_GB2312"/>
          <w:sz w:val="32"/>
          <w:szCs w:val="32"/>
        </w:rPr>
      </w:pPr>
      <w:r>
        <w:rPr>
          <w:rFonts w:ascii="仿宋_GB2312" w:eastAsia="仿宋_GB2312" w:hint="eastAsia"/>
          <w:sz w:val="32"/>
          <w:szCs w:val="32"/>
        </w:rPr>
        <w:t>研究基础，不予受理。</w:t>
      </w:r>
    </w:p>
    <w:p w:rsidR="004860F1" w:rsidRDefault="00F7244E">
      <w:pPr>
        <w:spacing w:line="560" w:lineRule="exact"/>
        <w:ind w:firstLineChars="150" w:firstLine="480"/>
        <w:rPr>
          <w:rFonts w:ascii="黑体" w:eastAsia="黑体" w:hAnsi="黑体"/>
          <w:sz w:val="32"/>
          <w:szCs w:val="32"/>
        </w:rPr>
      </w:pPr>
      <w:r>
        <w:rPr>
          <w:rFonts w:ascii="黑体" w:eastAsia="黑体" w:hAnsi="黑体" w:hint="eastAsia"/>
          <w:sz w:val="32"/>
          <w:szCs w:val="32"/>
        </w:rPr>
        <w:t>六、研究选题及研究内容</w:t>
      </w:r>
    </w:p>
    <w:p w:rsidR="004860F1" w:rsidRDefault="00F7244E">
      <w:pPr>
        <w:spacing w:line="560" w:lineRule="exact"/>
        <w:ind w:firstLineChars="150" w:firstLine="480"/>
        <w:rPr>
          <w:rFonts w:ascii="仿宋_GB2312" w:eastAsia="仿宋_GB2312"/>
          <w:sz w:val="32"/>
          <w:szCs w:val="32"/>
        </w:rPr>
      </w:pPr>
      <w:r>
        <w:rPr>
          <w:rFonts w:ascii="仿宋_GB2312" w:eastAsia="仿宋_GB2312" w:hint="eastAsia"/>
          <w:sz w:val="32"/>
          <w:szCs w:val="32"/>
        </w:rPr>
        <w:t>（一）科技创新支撑引领黔东南州产业三年倍增的路径研究，分析新一轮科技革命和产业变革趋势，立足黔东南州实施新型工业化、新型城镇化、农业现代化、旅游产业化发展需要梳理科技创新需求，研究提出科技创新支撑“四化”的发展路径、重点方向及任务、对策措施等建议。</w:t>
      </w:r>
    </w:p>
    <w:p w:rsidR="004860F1" w:rsidRDefault="00F7244E">
      <w:pPr>
        <w:spacing w:line="560" w:lineRule="exact"/>
        <w:ind w:firstLineChars="150" w:firstLine="480"/>
        <w:rPr>
          <w:rFonts w:ascii="仿宋_GB2312" w:eastAsia="仿宋_GB2312"/>
          <w:sz w:val="32"/>
          <w:szCs w:val="32"/>
        </w:rPr>
      </w:pPr>
      <w:r>
        <w:rPr>
          <w:rFonts w:ascii="仿宋_GB2312" w:eastAsia="仿宋_GB2312" w:hint="eastAsia"/>
          <w:sz w:val="32"/>
          <w:szCs w:val="32"/>
        </w:rPr>
        <w:t>（二）黔东南高新区高质量发展争创国家级高新区路径研究，调研分析黔东南高新区发展情况及科技创新现状，深入分析和学习借鉴省内外高新区规划布局、发展特色、发展重点、管理体制机制、政策举措等方面的成功经验做法，提出黔东南高新区高质量发展争创国家级高新区的对策和建议。</w:t>
      </w:r>
    </w:p>
    <w:p w:rsidR="004860F1" w:rsidRDefault="00F7244E">
      <w:pPr>
        <w:spacing w:line="560" w:lineRule="exact"/>
        <w:ind w:firstLineChars="150" w:firstLine="480"/>
        <w:rPr>
          <w:rFonts w:ascii="仿宋_GB2312" w:eastAsia="仿宋_GB2312"/>
          <w:sz w:val="32"/>
          <w:szCs w:val="32"/>
        </w:rPr>
      </w:pPr>
      <w:r>
        <w:rPr>
          <w:rFonts w:ascii="仿宋_GB2312" w:eastAsia="仿宋_GB2312" w:hint="eastAsia"/>
          <w:sz w:val="32"/>
          <w:szCs w:val="32"/>
        </w:rPr>
        <w:t>（三）黔东南州科技创新助力乡村振兴对策研究，立足黔东南州乡村振兴产业发展需要，梳理科技创新需求，研究提出科技创新支撑乡村振兴的发展路径、重点方向及任务、</w:t>
      </w:r>
      <w:r>
        <w:rPr>
          <w:rFonts w:ascii="仿宋_GB2312" w:eastAsia="仿宋_GB2312" w:hint="eastAsia"/>
          <w:sz w:val="32"/>
          <w:szCs w:val="32"/>
        </w:rPr>
        <w:lastRenderedPageBreak/>
        <w:t>对策措施等建议。</w:t>
      </w:r>
    </w:p>
    <w:p w:rsidR="004860F1" w:rsidRDefault="00F7244E">
      <w:pPr>
        <w:spacing w:line="560" w:lineRule="exact"/>
        <w:ind w:firstLineChars="200" w:firstLine="640"/>
        <w:rPr>
          <w:rFonts w:ascii="仿宋_GB2312" w:eastAsia="仿宋_GB2312"/>
          <w:sz w:val="32"/>
          <w:szCs w:val="32"/>
        </w:rPr>
      </w:pPr>
      <w:r>
        <w:rPr>
          <w:rFonts w:ascii="仿宋_GB2312" w:eastAsia="仿宋_GB2312" w:hint="eastAsia"/>
          <w:sz w:val="32"/>
          <w:szCs w:val="32"/>
        </w:rPr>
        <w:t>（四）黔东南州“科技+政务服务”运用探索研究，分析探索大数据技术、智能技术和智能设备等在我州政务服务中应用路径，以具体的应用示范点为实例，提出具体方案及对策建议。</w:t>
      </w:r>
    </w:p>
    <w:p w:rsidR="004860F1" w:rsidRDefault="004860F1">
      <w:pPr>
        <w:spacing w:line="560" w:lineRule="exact"/>
        <w:rPr>
          <w:rFonts w:ascii="仿宋_GB2312" w:eastAsia="仿宋_GB2312"/>
          <w:sz w:val="32"/>
          <w:szCs w:val="32"/>
        </w:rPr>
      </w:pPr>
    </w:p>
    <w:sectPr w:rsidR="004860F1" w:rsidSect="004860F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3C3" w:rsidRDefault="007953C3" w:rsidP="00CA61D4">
      <w:r>
        <w:separator/>
      </w:r>
    </w:p>
  </w:endnote>
  <w:endnote w:type="continuationSeparator" w:id="1">
    <w:p w:rsidR="007953C3" w:rsidRDefault="007953C3" w:rsidP="00CA61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63761"/>
      <w:docPartObj>
        <w:docPartGallery w:val="Page Numbers (Bottom of Page)"/>
        <w:docPartUnique/>
      </w:docPartObj>
    </w:sdtPr>
    <w:sdtContent>
      <w:p w:rsidR="00CA61D4" w:rsidRDefault="00A02B76">
        <w:pPr>
          <w:pStyle w:val="a3"/>
          <w:jc w:val="center"/>
        </w:pPr>
        <w:fldSimple w:instr=" PAGE   \* MERGEFORMAT ">
          <w:r w:rsidR="00CA1CF7" w:rsidRPr="00CA1CF7">
            <w:rPr>
              <w:noProof/>
              <w:lang w:val="zh-CN"/>
            </w:rPr>
            <w:t>4</w:t>
          </w:r>
        </w:fldSimple>
      </w:p>
    </w:sdtContent>
  </w:sdt>
  <w:p w:rsidR="00CA61D4" w:rsidRDefault="00CA61D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3C3" w:rsidRDefault="007953C3" w:rsidP="00CA61D4">
      <w:r>
        <w:separator/>
      </w:r>
    </w:p>
  </w:footnote>
  <w:footnote w:type="continuationSeparator" w:id="1">
    <w:p w:rsidR="007953C3" w:rsidRDefault="007953C3" w:rsidP="00CA61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4F09"/>
    <w:rsid w:val="000014DE"/>
    <w:rsid w:val="000437AD"/>
    <w:rsid w:val="00043E22"/>
    <w:rsid w:val="00051832"/>
    <w:rsid w:val="000532F3"/>
    <w:rsid w:val="000564EB"/>
    <w:rsid w:val="000939F6"/>
    <w:rsid w:val="00095ECA"/>
    <w:rsid w:val="000A027F"/>
    <w:rsid w:val="000B6FA9"/>
    <w:rsid w:val="000D4418"/>
    <w:rsid w:val="000E41F1"/>
    <w:rsid w:val="000E5873"/>
    <w:rsid w:val="00101F75"/>
    <w:rsid w:val="001324BC"/>
    <w:rsid w:val="001563F7"/>
    <w:rsid w:val="00160936"/>
    <w:rsid w:val="0019289D"/>
    <w:rsid w:val="001B49F8"/>
    <w:rsid w:val="001B592F"/>
    <w:rsid w:val="001D0A4F"/>
    <w:rsid w:val="001E3C63"/>
    <w:rsid w:val="001E75A4"/>
    <w:rsid w:val="001E7CFD"/>
    <w:rsid w:val="001F4CF0"/>
    <w:rsid w:val="002114CE"/>
    <w:rsid w:val="00222122"/>
    <w:rsid w:val="00225552"/>
    <w:rsid w:val="00231504"/>
    <w:rsid w:val="00240C5E"/>
    <w:rsid w:val="0025667D"/>
    <w:rsid w:val="00256957"/>
    <w:rsid w:val="002C2BB9"/>
    <w:rsid w:val="002C79A9"/>
    <w:rsid w:val="002E32F2"/>
    <w:rsid w:val="00302B06"/>
    <w:rsid w:val="0033561E"/>
    <w:rsid w:val="003535E6"/>
    <w:rsid w:val="00363B2E"/>
    <w:rsid w:val="003657BF"/>
    <w:rsid w:val="003772C0"/>
    <w:rsid w:val="00390344"/>
    <w:rsid w:val="00397C3E"/>
    <w:rsid w:val="003A1301"/>
    <w:rsid w:val="003C5C65"/>
    <w:rsid w:val="003D101B"/>
    <w:rsid w:val="003D38C0"/>
    <w:rsid w:val="003E47B0"/>
    <w:rsid w:val="00426038"/>
    <w:rsid w:val="00431947"/>
    <w:rsid w:val="0044248D"/>
    <w:rsid w:val="00443C73"/>
    <w:rsid w:val="0044403F"/>
    <w:rsid w:val="00453315"/>
    <w:rsid w:val="00455147"/>
    <w:rsid w:val="00462782"/>
    <w:rsid w:val="00482A21"/>
    <w:rsid w:val="004860F1"/>
    <w:rsid w:val="004B73F6"/>
    <w:rsid w:val="004C3375"/>
    <w:rsid w:val="004D0674"/>
    <w:rsid w:val="004E4971"/>
    <w:rsid w:val="00506052"/>
    <w:rsid w:val="005307D7"/>
    <w:rsid w:val="005620C7"/>
    <w:rsid w:val="0057018C"/>
    <w:rsid w:val="005712B7"/>
    <w:rsid w:val="00571D08"/>
    <w:rsid w:val="005A4597"/>
    <w:rsid w:val="005D63B9"/>
    <w:rsid w:val="005E2607"/>
    <w:rsid w:val="005E4B12"/>
    <w:rsid w:val="005F5E12"/>
    <w:rsid w:val="006073CD"/>
    <w:rsid w:val="006413F4"/>
    <w:rsid w:val="00676E06"/>
    <w:rsid w:val="00682C16"/>
    <w:rsid w:val="00686A35"/>
    <w:rsid w:val="00697BB7"/>
    <w:rsid w:val="006A4F88"/>
    <w:rsid w:val="006D2FD1"/>
    <w:rsid w:val="00702C9A"/>
    <w:rsid w:val="00733E7B"/>
    <w:rsid w:val="007528FB"/>
    <w:rsid w:val="007721BD"/>
    <w:rsid w:val="00782E60"/>
    <w:rsid w:val="00792A97"/>
    <w:rsid w:val="007953C3"/>
    <w:rsid w:val="007A0677"/>
    <w:rsid w:val="007D7552"/>
    <w:rsid w:val="007E0CCA"/>
    <w:rsid w:val="00800C5C"/>
    <w:rsid w:val="0081224F"/>
    <w:rsid w:val="00812874"/>
    <w:rsid w:val="008230AB"/>
    <w:rsid w:val="00825907"/>
    <w:rsid w:val="00827D20"/>
    <w:rsid w:val="00841007"/>
    <w:rsid w:val="0085721C"/>
    <w:rsid w:val="008807B3"/>
    <w:rsid w:val="00893A70"/>
    <w:rsid w:val="008B0B2D"/>
    <w:rsid w:val="008E21FA"/>
    <w:rsid w:val="00917D2E"/>
    <w:rsid w:val="00947FF6"/>
    <w:rsid w:val="009811DC"/>
    <w:rsid w:val="00984617"/>
    <w:rsid w:val="009926E6"/>
    <w:rsid w:val="009A7592"/>
    <w:rsid w:val="009E6F78"/>
    <w:rsid w:val="00A00F56"/>
    <w:rsid w:val="00A02B76"/>
    <w:rsid w:val="00A169F0"/>
    <w:rsid w:val="00A32D04"/>
    <w:rsid w:val="00A34B58"/>
    <w:rsid w:val="00A42F7D"/>
    <w:rsid w:val="00A4335A"/>
    <w:rsid w:val="00A52460"/>
    <w:rsid w:val="00A6263C"/>
    <w:rsid w:val="00A626EF"/>
    <w:rsid w:val="00A64378"/>
    <w:rsid w:val="00A72C32"/>
    <w:rsid w:val="00A768BF"/>
    <w:rsid w:val="00AD079F"/>
    <w:rsid w:val="00AD74C7"/>
    <w:rsid w:val="00B62D51"/>
    <w:rsid w:val="00BC250C"/>
    <w:rsid w:val="00BC3B58"/>
    <w:rsid w:val="00C12AFB"/>
    <w:rsid w:val="00C229C5"/>
    <w:rsid w:val="00C576CE"/>
    <w:rsid w:val="00C631B6"/>
    <w:rsid w:val="00C8391F"/>
    <w:rsid w:val="00C84763"/>
    <w:rsid w:val="00C960E3"/>
    <w:rsid w:val="00CA1391"/>
    <w:rsid w:val="00CA1CF7"/>
    <w:rsid w:val="00CA4D5E"/>
    <w:rsid w:val="00CA5548"/>
    <w:rsid w:val="00CA61D4"/>
    <w:rsid w:val="00CD0AC6"/>
    <w:rsid w:val="00CD5AFA"/>
    <w:rsid w:val="00CE4F09"/>
    <w:rsid w:val="00CF60D6"/>
    <w:rsid w:val="00CF7B28"/>
    <w:rsid w:val="00D07498"/>
    <w:rsid w:val="00D17421"/>
    <w:rsid w:val="00D540F7"/>
    <w:rsid w:val="00D75142"/>
    <w:rsid w:val="00D80A0A"/>
    <w:rsid w:val="00D93FBC"/>
    <w:rsid w:val="00DB3A55"/>
    <w:rsid w:val="00DC15BE"/>
    <w:rsid w:val="00DC3486"/>
    <w:rsid w:val="00E07DA9"/>
    <w:rsid w:val="00E114AC"/>
    <w:rsid w:val="00E1591F"/>
    <w:rsid w:val="00E3381B"/>
    <w:rsid w:val="00E848D7"/>
    <w:rsid w:val="00EA2195"/>
    <w:rsid w:val="00EB2EB4"/>
    <w:rsid w:val="00EB78C8"/>
    <w:rsid w:val="00EF2CE8"/>
    <w:rsid w:val="00F10824"/>
    <w:rsid w:val="00F1511E"/>
    <w:rsid w:val="00F2086E"/>
    <w:rsid w:val="00F31071"/>
    <w:rsid w:val="00F633C5"/>
    <w:rsid w:val="00F721BF"/>
    <w:rsid w:val="00F7244E"/>
    <w:rsid w:val="00F93A95"/>
    <w:rsid w:val="00FA22BD"/>
    <w:rsid w:val="00FE6A60"/>
    <w:rsid w:val="0D936A74"/>
    <w:rsid w:val="4C131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0F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860F1"/>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4860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860F1"/>
    <w:rPr>
      <w:sz w:val="18"/>
      <w:szCs w:val="18"/>
    </w:rPr>
  </w:style>
  <w:style w:type="character" w:customStyle="1" w:styleId="Char">
    <w:name w:val="页脚 Char"/>
    <w:basedOn w:val="a0"/>
    <w:link w:val="a3"/>
    <w:uiPriority w:val="99"/>
    <w:qFormat/>
    <w:rsid w:val="004860F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232</Words>
  <Characters>1329</Characters>
  <Application>Microsoft Office Word</Application>
  <DocSecurity>0</DocSecurity>
  <Lines>11</Lines>
  <Paragraphs>3</Paragraphs>
  <ScaleCrop>false</ScaleCrop>
  <Company>微软公司</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潘佳佳</dc:creator>
  <cp:lastModifiedBy>潘佳佳</cp:lastModifiedBy>
  <cp:revision>10</cp:revision>
  <cp:lastPrinted>2021-07-28T08:57:00Z</cp:lastPrinted>
  <dcterms:created xsi:type="dcterms:W3CDTF">2021-07-08T09:05:00Z</dcterms:created>
  <dcterms:modified xsi:type="dcterms:W3CDTF">2021-08-05T06:34:00Z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